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55" w:rsidRDefault="00B132BC" w:rsidP="005F6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A81955" w:rsidRDefault="00A8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955" w:rsidRDefault="00A81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955" w:rsidRDefault="00B1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график проведения мероприятий в рамках реализации </w:t>
      </w:r>
      <w:r w:rsidR="00526BBC" w:rsidRPr="00526BBC">
        <w:rPr>
          <w:rFonts w:ascii="Times New Roman" w:hAnsi="Times New Roman" w:cs="Times New Roman"/>
          <w:bCs/>
          <w:sz w:val="28"/>
          <w:szCs w:val="28"/>
        </w:rPr>
        <w:t>н</w:t>
      </w:r>
      <w:r w:rsidRPr="00526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ционального проекта </w:t>
      </w:r>
      <w:r w:rsidR="00526BBC">
        <w:rPr>
          <w:rFonts w:ascii="Times New Roman" w:hAnsi="Times New Roman" w:cs="Times New Roman"/>
          <w:sz w:val="28"/>
          <w:szCs w:val="28"/>
        </w:rPr>
        <w:t xml:space="preserve">«Эффективная и конкурентная экономика» и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в 202</w:t>
      </w:r>
      <w:r w:rsidR="00D21F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81955" w:rsidRDefault="00B132BC">
      <w:pPr>
        <w:pStyle w:val="ab"/>
        <w:spacing w:before="280" w:after="159" w:line="25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АНО РА «"Центр поддержки предпринимательской и инвестиционной деятельности Республики Алтай ".</w:t>
      </w:r>
    </w:p>
    <w:p w:rsidR="00A81955" w:rsidRDefault="00A8195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68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3408"/>
        <w:gridCol w:w="1444"/>
        <w:gridCol w:w="1842"/>
        <w:gridCol w:w="2126"/>
        <w:gridCol w:w="1848"/>
      </w:tblGrid>
      <w:tr w:rsidR="00A81955" w:rsidTr="007C7F81">
        <w:tc>
          <w:tcPr>
            <w:tcW w:w="3408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4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Период,</w:t>
            </w:r>
          </w:p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отдел за мероприятие:</w:t>
            </w:r>
          </w:p>
        </w:tc>
        <w:tc>
          <w:tcPr>
            <w:tcW w:w="2126" w:type="dxa"/>
          </w:tcPr>
          <w:p w:rsidR="00A81955" w:rsidRDefault="00B13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A81955" w:rsidRDefault="00E97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97494" w:rsidTr="007C7F81">
        <w:trPr>
          <w:trHeight w:val="1946"/>
        </w:trPr>
        <w:tc>
          <w:tcPr>
            <w:tcW w:w="3408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Выставка-ярмарка мастеров и ремесленников Республики Алтай («</w:t>
            </w:r>
            <w:proofErr w:type="spellStart"/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Чике</w:t>
            </w:r>
            <w:proofErr w:type="spellEnd"/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-Таманская весна» 2025г.)</w:t>
            </w:r>
          </w:p>
        </w:tc>
        <w:tc>
          <w:tcPr>
            <w:tcW w:w="1444" w:type="dxa"/>
            <w:tcBorders>
              <w:top w:val="nil"/>
            </w:tcBorders>
          </w:tcPr>
          <w:p w:rsidR="00F97494" w:rsidRPr="00E97886" w:rsidRDefault="00F97494" w:rsidP="007C7F8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 м</w:t>
            </w:r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 2025г.</w:t>
            </w:r>
          </w:p>
        </w:tc>
        <w:tc>
          <w:tcPr>
            <w:tcW w:w="1842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Онгудайский район </w:t>
            </w:r>
          </w:p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т/б «Кордон – Кур кечу»</w:t>
            </w:r>
          </w:p>
        </w:tc>
        <w:tc>
          <w:tcPr>
            <w:tcW w:w="1848" w:type="dxa"/>
            <w:vMerge w:val="restart"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Выставка-ярмарка мастеров и ремесленников Республики Алтай («Родники Алтая»)</w:t>
            </w:r>
          </w:p>
        </w:tc>
        <w:tc>
          <w:tcPr>
            <w:tcW w:w="1444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04-06 и</w:t>
            </w:r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я 2025г. </w:t>
            </w:r>
          </w:p>
        </w:tc>
        <w:tc>
          <w:tcPr>
            <w:tcW w:w="1842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Усть-Кокса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7C7F81">
        <w:trPr>
          <w:trHeight w:val="415"/>
        </w:trPr>
        <w:tc>
          <w:tcPr>
            <w:tcW w:w="3408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Выставка-ярмарка мастеров и ремесленников Республики Алтай («Фестивальный </w:t>
            </w:r>
            <w:proofErr w:type="spellStart"/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Турсиб</w:t>
            </w:r>
            <w:proofErr w:type="spellEnd"/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- 2025».)</w:t>
            </w:r>
          </w:p>
        </w:tc>
        <w:tc>
          <w:tcPr>
            <w:tcW w:w="1444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а</w:t>
            </w:r>
            <w:r w:rsidRPr="00E978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</w:p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842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  <w:tcBorders>
              <w:top w:val="nil"/>
            </w:tcBorders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Чемальский район п. Катунь </w:t>
            </w:r>
          </w:p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т/б «</w:t>
            </w:r>
            <w:proofErr w:type="spellStart"/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Турсиб</w:t>
            </w:r>
            <w:proofErr w:type="spellEnd"/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народных промыслов России «Ладья. Зимняя сказка - 2025»</w:t>
            </w:r>
          </w:p>
          <w:p w:rsidR="00F97494" w:rsidRDefault="00F97494" w:rsidP="00E46283">
            <w:pPr>
              <w:pStyle w:val="1"/>
              <w:widowControl w:val="0"/>
              <w:shd w:val="clear" w:color="auto" w:fill="FFFFFF"/>
              <w:spacing w:before="0" w:after="0" w:line="240" w:lineRule="auto"/>
              <w:ind w:left="-17"/>
              <w:jc w:val="left"/>
              <w:rPr>
                <w:color w:val="000000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1. Консультационные услуги</w:t>
            </w:r>
          </w:p>
          <w:p w:rsidR="00F97494" w:rsidRDefault="00F97494" w:rsidP="00E46283">
            <w:pPr>
              <w:pStyle w:val="1"/>
              <w:widowControl w:val="0"/>
              <w:shd w:val="clear" w:color="auto" w:fill="FFFFFF"/>
              <w:spacing w:before="0" w:after="0" w:line="240" w:lineRule="auto"/>
              <w:ind w:left="-17"/>
              <w:jc w:val="left"/>
              <w:rPr>
                <w:color w:val="000000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2.Обеспечение участия в мероприятии</w:t>
            </w:r>
          </w:p>
          <w:p w:rsidR="00F97494" w:rsidRPr="00E97886" w:rsidRDefault="00F97494" w:rsidP="00E46283">
            <w:pPr>
              <w:pStyle w:val="1"/>
              <w:widowControl w:val="0"/>
              <w:shd w:val="clear" w:color="auto" w:fill="FFFFFF"/>
              <w:spacing w:before="0" w:after="0" w:line="240" w:lineRule="auto"/>
              <w:ind w:left="-17"/>
              <w:jc w:val="lef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E9788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3. Создание презентационных </w:t>
            </w:r>
            <w:r w:rsidRPr="00E9788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.</w:t>
            </w:r>
          </w:p>
          <w:p w:rsidR="00F97494" w:rsidRPr="00E97886" w:rsidRDefault="00F97494" w:rsidP="00E46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условиях софинансирования не менее 10 %)</w:t>
            </w:r>
          </w:p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17-21 декабря  2025г.  </w:t>
            </w:r>
          </w:p>
        </w:tc>
        <w:tc>
          <w:tcPr>
            <w:tcW w:w="1842" w:type="dxa"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Отдел народно-художественных промыслов, ремесленной деятельности, сельского и экологического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2126" w:type="dxa"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384684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Обучающий мастер-класс: «Кузнечное дело»</w:t>
            </w:r>
          </w:p>
        </w:tc>
        <w:tc>
          <w:tcPr>
            <w:tcW w:w="1444" w:type="dxa"/>
          </w:tcPr>
          <w:p w:rsidR="00F97494" w:rsidRPr="00195907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04-06 августа 2025г.</w:t>
            </w:r>
          </w:p>
        </w:tc>
        <w:tc>
          <w:tcPr>
            <w:tcW w:w="1842" w:type="dxa"/>
          </w:tcPr>
          <w:p w:rsidR="00F97494" w:rsidRPr="00195907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</w:tcPr>
          <w:p w:rsidR="00F97494" w:rsidRPr="00195907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 Алтай, Кош-Агачский район, урочище «</w:t>
            </w:r>
            <w:proofErr w:type="spellStart"/>
            <w:r w:rsidRPr="00195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Куйактанар</w:t>
            </w:r>
            <w:proofErr w:type="spellEnd"/>
            <w:r w:rsidRPr="00195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(857 км Чуйского тракта).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7C7F81">
        <w:tc>
          <w:tcPr>
            <w:tcW w:w="3408" w:type="dxa"/>
          </w:tcPr>
          <w:p w:rsidR="00F97494" w:rsidRPr="00384684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 мастер-</w:t>
            </w:r>
            <w:proofErr w:type="gramStart"/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классы:  «</w:t>
            </w:r>
            <w:proofErr w:type="gramEnd"/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Художественный войлок (панно, картина)», «Художественная обработка кожи (аксессуары)», По пошиву алтайского национального жилета, «Изготовление брелоков и сувениров из натуральной ракушки каури», «</w:t>
            </w:r>
            <w:proofErr w:type="spellStart"/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Изготовле-ние</w:t>
            </w:r>
            <w:proofErr w:type="spellEnd"/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декоративной броши», «По мыловарению», </w:t>
            </w:r>
            <w:proofErr w:type="spellStart"/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Нунофелтинг</w:t>
            </w:r>
            <w:proofErr w:type="spellEnd"/>
            <w:r w:rsidRPr="003846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«Пошив варежек из меха»</w:t>
            </w:r>
          </w:p>
        </w:tc>
        <w:tc>
          <w:tcPr>
            <w:tcW w:w="1444" w:type="dxa"/>
          </w:tcPr>
          <w:p w:rsidR="00F97494" w:rsidRPr="00195907" w:rsidRDefault="00F97494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</w:tcPr>
          <w:p w:rsidR="00F97494" w:rsidRPr="00E97886" w:rsidRDefault="00F97494" w:rsidP="00E46283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E978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  <w:vMerge/>
          </w:tcPr>
          <w:p w:rsidR="00F97494" w:rsidRDefault="00F97494" w:rsidP="00E46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7494" w:rsidTr="00B132BC">
        <w:trPr>
          <w:trHeight w:val="898"/>
        </w:trPr>
        <w:tc>
          <w:tcPr>
            <w:tcW w:w="10668" w:type="dxa"/>
            <w:gridSpan w:val="5"/>
            <w:vAlign w:val="center"/>
          </w:tcPr>
          <w:p w:rsidR="00F97494" w:rsidRDefault="00F97494" w:rsidP="00B04E37">
            <w:pPr>
              <w:suppressAutoHyphens w:val="0"/>
              <w:spacing w:before="278" w:after="0"/>
              <w:ind w:left="10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услуг </w:t>
            </w:r>
            <w:r w:rsidR="00B04E37" w:rsidRPr="00B0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связанных с </w:t>
            </w:r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реализацией мероприятий в сфере развития предпринимательской и инвестиционной деятельности (в соответствии с соглашением №40-2025-000602 от 05.02.2025г.</w:t>
            </w:r>
            <w:proofErr w:type="gramStart"/>
            <w:r w:rsidR="00B04E37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 w:rsidR="00B04E37" w:rsidRPr="00B0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="00B04E3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gramEnd"/>
            <w:r w:rsidR="00B04E37" w:rsidRPr="00B0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популяризацию предпринимательства (форум, конференция, съезд, бизнес – неделя и пр.)</w:t>
            </w:r>
          </w:p>
        </w:tc>
      </w:tr>
      <w:tr w:rsidR="00211782" w:rsidTr="007C7F81">
        <w:tc>
          <w:tcPr>
            <w:tcW w:w="3408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4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Период,</w:t>
            </w:r>
          </w:p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отдел за мероприятие:</w:t>
            </w:r>
          </w:p>
        </w:tc>
        <w:tc>
          <w:tcPr>
            <w:tcW w:w="2126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211782" w:rsidRDefault="00211782" w:rsidP="00E462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21F2D" w:rsidTr="007C7F81">
        <w:tc>
          <w:tcPr>
            <w:tcW w:w="3408" w:type="dxa"/>
          </w:tcPr>
          <w:p w:rsidR="00521F2D" w:rsidRPr="00384684" w:rsidRDefault="00521F2D" w:rsidP="007C7F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384684" w:rsidRPr="00384684">
              <w:rPr>
                <w:rFonts w:ascii="Times New Roman" w:hAnsi="Times New Roman" w:cs="Times New Roman"/>
                <w:sz w:val="24"/>
                <w:szCs w:val="24"/>
              </w:rPr>
              <w:t>Для ремесленников</w:t>
            </w:r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521F2D" w:rsidRPr="00B96C73" w:rsidRDefault="00211782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21F2D" w:rsidRPr="00B96C73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2" w:type="dxa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tr w:rsidR="00521F2D" w:rsidTr="007C7F81">
        <w:tc>
          <w:tcPr>
            <w:tcW w:w="3408" w:type="dxa"/>
          </w:tcPr>
          <w:p w:rsidR="00521F2D" w:rsidRPr="00384684" w:rsidRDefault="00521F2D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5808659"/>
            <w:r w:rsidRPr="00384684">
              <w:rPr>
                <w:rFonts w:ascii="Times New Roman" w:hAnsi="Times New Roman" w:cs="Times New Roman"/>
                <w:sz w:val="24"/>
                <w:szCs w:val="24"/>
              </w:rPr>
              <w:t>Семинар «Мода Горного Алтая вчера и сегодня»</w:t>
            </w:r>
          </w:p>
        </w:tc>
        <w:tc>
          <w:tcPr>
            <w:tcW w:w="1444" w:type="dxa"/>
          </w:tcPr>
          <w:p w:rsidR="00521F2D" w:rsidRPr="00165E3E" w:rsidRDefault="00211782" w:rsidP="00E46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1F2D" w:rsidRPr="00165E3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gramEnd"/>
          </w:p>
          <w:p w:rsidR="00521F2D" w:rsidRDefault="00521F2D" w:rsidP="00E462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848" w:type="dxa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раздела XII Регламента АНО ЦМБ РА</w:t>
            </w:r>
          </w:p>
        </w:tc>
      </w:tr>
      <w:bookmarkEnd w:id="1"/>
      <w:tr w:rsidR="00521F2D" w:rsidTr="007C7F81">
        <w:tc>
          <w:tcPr>
            <w:tcW w:w="3408" w:type="dxa"/>
          </w:tcPr>
          <w:p w:rsidR="00521F2D" w:rsidRPr="00384684" w:rsidRDefault="00521F2D" w:rsidP="00E46283">
            <w:pPr>
              <w:widowControl w:val="0"/>
              <w:spacing w:after="0" w:line="240" w:lineRule="auto"/>
            </w:pPr>
            <w:r w:rsidRPr="00384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«Итоги </w:t>
            </w:r>
            <w:r w:rsidRPr="00384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Центра НХП в 2025 году»</w:t>
            </w:r>
          </w:p>
        </w:tc>
        <w:tc>
          <w:tcPr>
            <w:tcW w:w="1444" w:type="dxa"/>
          </w:tcPr>
          <w:p w:rsidR="00521F2D" w:rsidRDefault="00211782" w:rsidP="00E46283">
            <w:pPr>
              <w:widowControl w:val="0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</w:t>
            </w:r>
            <w:r w:rsidR="00521F2D">
              <w:rPr>
                <w:rFonts w:ascii="Times New Roman" w:eastAsia="Calibri" w:hAnsi="Times New Roman" w:cs="Times New Roman"/>
                <w:sz w:val="24"/>
                <w:szCs w:val="24"/>
              </w:rPr>
              <w:t>кабрь</w:t>
            </w:r>
            <w:proofErr w:type="gramEnd"/>
          </w:p>
        </w:tc>
        <w:tc>
          <w:tcPr>
            <w:tcW w:w="1842" w:type="dxa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народно-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художественных промыслов, ремесленной деятельности, сельского и экологического туризма</w:t>
            </w:r>
          </w:p>
        </w:tc>
        <w:tc>
          <w:tcPr>
            <w:tcW w:w="2126" w:type="dxa"/>
            <w:vAlign w:val="center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Горно-Алтайск</w:t>
            </w:r>
          </w:p>
        </w:tc>
        <w:tc>
          <w:tcPr>
            <w:tcW w:w="1848" w:type="dxa"/>
          </w:tcPr>
          <w:p w:rsidR="00521F2D" w:rsidRDefault="00521F2D" w:rsidP="00E46283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раздела XII Регламента АНО ЦМБ РА</w:t>
            </w:r>
          </w:p>
        </w:tc>
      </w:tr>
    </w:tbl>
    <w:p w:rsidR="00A81955" w:rsidRDefault="00A8195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A81955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262A"/>
    <w:multiLevelType w:val="multilevel"/>
    <w:tmpl w:val="C5E464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B602D47"/>
    <w:multiLevelType w:val="multilevel"/>
    <w:tmpl w:val="72E8B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5"/>
    <w:rsid w:val="000A7E58"/>
    <w:rsid w:val="000F04D5"/>
    <w:rsid w:val="00165E3E"/>
    <w:rsid w:val="00166550"/>
    <w:rsid w:val="00191135"/>
    <w:rsid w:val="00195907"/>
    <w:rsid w:val="001A1CF2"/>
    <w:rsid w:val="00211782"/>
    <w:rsid w:val="00215CE9"/>
    <w:rsid w:val="0027476F"/>
    <w:rsid w:val="00285B61"/>
    <w:rsid w:val="002C0151"/>
    <w:rsid w:val="003055F2"/>
    <w:rsid w:val="00320DB4"/>
    <w:rsid w:val="00384684"/>
    <w:rsid w:val="003C6D22"/>
    <w:rsid w:val="00401B76"/>
    <w:rsid w:val="00405BC4"/>
    <w:rsid w:val="00447248"/>
    <w:rsid w:val="004E167E"/>
    <w:rsid w:val="00521F2D"/>
    <w:rsid w:val="00526700"/>
    <w:rsid w:val="00526BBC"/>
    <w:rsid w:val="005A0FC1"/>
    <w:rsid w:val="005C12CE"/>
    <w:rsid w:val="005F6A7F"/>
    <w:rsid w:val="0060072E"/>
    <w:rsid w:val="00750E63"/>
    <w:rsid w:val="00782818"/>
    <w:rsid w:val="007C7F81"/>
    <w:rsid w:val="007E7E8B"/>
    <w:rsid w:val="00817081"/>
    <w:rsid w:val="00854737"/>
    <w:rsid w:val="00886785"/>
    <w:rsid w:val="008C7441"/>
    <w:rsid w:val="00923675"/>
    <w:rsid w:val="00972E2E"/>
    <w:rsid w:val="009F0392"/>
    <w:rsid w:val="00A36876"/>
    <w:rsid w:val="00A81955"/>
    <w:rsid w:val="00B04E37"/>
    <w:rsid w:val="00B132BC"/>
    <w:rsid w:val="00B44CFC"/>
    <w:rsid w:val="00B96C73"/>
    <w:rsid w:val="00BA0590"/>
    <w:rsid w:val="00C5322D"/>
    <w:rsid w:val="00C56621"/>
    <w:rsid w:val="00D21F37"/>
    <w:rsid w:val="00D61CC6"/>
    <w:rsid w:val="00DF7F18"/>
    <w:rsid w:val="00E17FC0"/>
    <w:rsid w:val="00E4615C"/>
    <w:rsid w:val="00E46283"/>
    <w:rsid w:val="00E542B6"/>
    <w:rsid w:val="00E63232"/>
    <w:rsid w:val="00E97886"/>
    <w:rsid w:val="00F63F5C"/>
    <w:rsid w:val="00F97494"/>
    <w:rsid w:val="00F9767D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F1ED-DB72-4F8E-8988-42A1AEC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403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D04403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 w:eastAsia="ru-RU"/>
    </w:rPr>
  </w:style>
  <w:style w:type="paragraph" w:styleId="3">
    <w:name w:val="heading 3"/>
    <w:basedOn w:val="4"/>
    <w:next w:val="a"/>
    <w:link w:val="30"/>
    <w:qFormat/>
    <w:rsid w:val="00D04403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D04403"/>
    <w:pPr>
      <w:keepNext w:val="0"/>
      <w:keepLines w:val="0"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04403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04403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04403"/>
    <w:rPr>
      <w:rFonts w:ascii="Times New Roman" w:eastAsiaTheme="majorEastAsia" w:hAnsi="Times New Roman" w:cs="Arial"/>
      <w:b/>
      <w:bCs/>
      <w:kern w:val="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qFormat/>
    <w:rsid w:val="00D04403"/>
    <w:rPr>
      <w:rFonts w:ascii="Times New Roman" w:eastAsiaTheme="majorEastAsia" w:hAnsi="Times New Roman" w:cs="Arial"/>
      <w:b/>
      <w:bCs/>
      <w:iCs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qFormat/>
    <w:rsid w:val="00D04403"/>
    <w:rPr>
      <w:rFonts w:ascii="Times New Roman" w:eastAsiaTheme="majorEastAsia" w:hAnsi="Times New Roman" w:cstheme="majorBidi"/>
      <w:i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qFormat/>
    <w:rsid w:val="00D04403"/>
    <w:rPr>
      <w:rFonts w:ascii="Times New Roman" w:eastAsiaTheme="majorEastAsia" w:hAnsi="Times New Roman" w:cstheme="majorBidi"/>
      <w:i/>
      <w:iCs/>
      <w:sz w:val="24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qFormat/>
    <w:rsid w:val="00D04403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qFormat/>
    <w:rsid w:val="00D04403"/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440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28276A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qFormat/>
    <w:rsid w:val="000A15EB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7A0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2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0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dc:description/>
  <cp:lastModifiedBy>мой бизнес</cp:lastModifiedBy>
  <cp:revision>4</cp:revision>
  <cp:lastPrinted>2025-08-11T07:21:00Z</cp:lastPrinted>
  <dcterms:created xsi:type="dcterms:W3CDTF">2025-09-18T03:41:00Z</dcterms:created>
  <dcterms:modified xsi:type="dcterms:W3CDTF">2025-09-18T03:51:00Z</dcterms:modified>
  <dc:language>ru-RU</dc:language>
</cp:coreProperties>
</file>